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903F1">
      <w:pPr>
        <w:pStyle w:val="2"/>
        <w:spacing w:before="61" w:line="194" w:lineRule="auto"/>
        <w:jc w:val="center"/>
        <w:outlineLvl w:val="0"/>
        <w:rPr>
          <w:sz w:val="35"/>
          <w:szCs w:val="35"/>
        </w:rPr>
      </w:pPr>
      <w:bookmarkStart w:id="0" w:name="OLE_LINK4"/>
      <w:r>
        <w:rPr>
          <w:b/>
          <w:bCs/>
          <w:color w:val="E36C09"/>
          <w:sz w:val="35"/>
          <w:szCs w:val="35"/>
        </w:rPr>
        <w:t>HP</w:t>
      </w:r>
      <w:r>
        <w:rPr>
          <w:b/>
          <w:bCs/>
          <w:color w:val="E36C09"/>
          <w:spacing w:val="14"/>
          <w:sz w:val="35"/>
          <w:szCs w:val="35"/>
        </w:rPr>
        <w:t>3932</w:t>
      </w:r>
      <w:r>
        <w:rPr>
          <w:b/>
          <w:bCs/>
          <w:color w:val="E36C09"/>
          <w:sz w:val="35"/>
          <w:szCs w:val="35"/>
        </w:rPr>
        <w:t>C</w:t>
      </w:r>
      <w:r>
        <w:rPr>
          <w:b/>
          <w:bCs/>
          <w:color w:val="E36C09"/>
          <w:spacing w:val="14"/>
          <w:sz w:val="35"/>
          <w:szCs w:val="35"/>
        </w:rPr>
        <w:t xml:space="preserve"> </w:t>
      </w:r>
      <w:r>
        <w:rPr>
          <w:rFonts w:hint="eastAsia" w:eastAsia="宋体"/>
          <w:b/>
          <w:bCs/>
          <w:color w:val="E36C09"/>
          <w:spacing w:val="14"/>
          <w:sz w:val="35"/>
          <w:szCs w:val="35"/>
          <w:lang w:val="en-US" w:eastAsia="zh-CN"/>
        </w:rPr>
        <w:t xml:space="preserve">32 in 1 </w:t>
      </w:r>
      <w:r>
        <w:rPr>
          <w:b/>
          <w:bCs/>
          <w:color w:val="E36C09"/>
          <w:sz w:val="35"/>
          <w:szCs w:val="35"/>
        </w:rPr>
        <w:t>IP</w:t>
      </w:r>
      <w:r>
        <w:rPr>
          <w:b/>
          <w:bCs/>
          <w:color w:val="E36C09"/>
          <w:spacing w:val="14"/>
          <w:sz w:val="35"/>
          <w:szCs w:val="35"/>
        </w:rPr>
        <w:t xml:space="preserve"> </w:t>
      </w:r>
      <w:r>
        <w:rPr>
          <w:b/>
          <w:bCs/>
          <w:color w:val="E36C09"/>
          <w:sz w:val="35"/>
          <w:szCs w:val="35"/>
        </w:rPr>
        <w:t>QAM</w:t>
      </w:r>
      <w:r>
        <w:rPr>
          <w:b/>
          <w:bCs/>
          <w:color w:val="E36C09"/>
          <w:spacing w:val="14"/>
          <w:sz w:val="35"/>
          <w:szCs w:val="35"/>
        </w:rPr>
        <w:t xml:space="preserve"> </w:t>
      </w:r>
      <w:r>
        <w:rPr>
          <w:b/>
          <w:bCs/>
          <w:color w:val="E36C09"/>
          <w:sz w:val="35"/>
          <w:szCs w:val="35"/>
        </w:rPr>
        <w:t>Modulat</w:t>
      </w:r>
      <w:bookmarkStart w:id="4" w:name="_GoBack"/>
      <w:bookmarkEnd w:id="4"/>
      <w:r>
        <w:rPr>
          <w:b/>
          <w:bCs/>
          <w:color w:val="E36C09"/>
          <w:sz w:val="35"/>
          <w:szCs w:val="35"/>
        </w:rPr>
        <w:t>or</w:t>
      </w:r>
    </w:p>
    <w:p w14:paraId="05469AB4">
      <w:pPr>
        <w:spacing w:line="292" w:lineRule="auto"/>
        <w:rPr>
          <w:rFonts w:hint="eastAsia" w:ascii="Arial" w:eastAsia="宋体"/>
          <w:sz w:val="21"/>
          <w:lang w:val="en-US" w:eastAsia="zh-CN"/>
        </w:rPr>
      </w:pPr>
      <w:r>
        <w:rPr>
          <w:rFonts w:hint="eastAsia" w:eastAsia="宋体"/>
          <w:sz w:val="21"/>
          <w:lang w:val="en-US" w:eastAsia="zh-CN"/>
        </w:rPr>
        <w:t xml:space="preserve"> </w:t>
      </w:r>
    </w:p>
    <w:bookmarkEnd w:id="0"/>
    <w:p w14:paraId="263D783A">
      <w:pPr>
        <w:spacing w:line="292" w:lineRule="auto"/>
        <w:rPr>
          <w:rFonts w:hint="eastAsia" w:ascii="Arial" w:eastAsia="宋体"/>
          <w:sz w:val="21"/>
          <w:lang w:eastAsia="zh-CN"/>
        </w:rPr>
      </w:pPr>
      <w:r>
        <w:rPr>
          <w:rFonts w:hint="eastAsia" w:ascii="Arial" w:eastAsia="宋体"/>
          <w:sz w:val="21"/>
          <w:lang w:eastAsia="zh-CN"/>
        </w:rPr>
        <w:drawing>
          <wp:inline distT="0" distB="0" distL="114300" distR="114300">
            <wp:extent cx="6629400" cy="3646170"/>
            <wp:effectExtent l="0" t="0" r="0" b="0"/>
            <wp:docPr id="1" name="图片 1" descr="HP393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P3932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36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62B88">
      <w:pPr>
        <w:pStyle w:val="2"/>
        <w:spacing w:before="264" w:line="189" w:lineRule="auto"/>
        <w:outlineLvl w:val="1"/>
        <w:rPr>
          <w:sz w:val="30"/>
          <w:szCs w:val="30"/>
        </w:rPr>
      </w:pPr>
      <w:r>
        <w:rPr>
          <w:b/>
          <w:bCs/>
          <w:color w:val="E36C09"/>
          <w:spacing w:val="-1"/>
          <w:sz w:val="30"/>
          <w:szCs w:val="30"/>
        </w:rPr>
        <w:t>Product Overview</w:t>
      </w:r>
    </w:p>
    <w:p w14:paraId="58EA7DC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90" w:line="399" w:lineRule="auto"/>
        <w:ind w:right="363"/>
        <w:jc w:val="both"/>
        <w:textAlignment w:val="baseline"/>
      </w:pPr>
      <w:bookmarkStart w:id="1" w:name="OLE_LINK1"/>
      <w:r>
        <w:t>HP</w:t>
      </w:r>
      <w:r>
        <w:rPr>
          <w:spacing w:val="6"/>
        </w:rPr>
        <w:t>3932</w:t>
      </w:r>
      <w:r>
        <w:t>C</w:t>
      </w:r>
      <w:r>
        <w:rPr>
          <w:spacing w:val="6"/>
        </w:rPr>
        <w:t xml:space="preserve"> </w:t>
      </w:r>
      <w:r>
        <w:rPr>
          <w:rFonts w:hint="eastAsia" w:eastAsia="宋体"/>
          <w:spacing w:val="6"/>
          <w:lang w:val="en-US" w:eastAsia="zh-CN"/>
        </w:rPr>
        <w:t>32 in 1</w:t>
      </w:r>
      <w:r>
        <w:rPr>
          <w:spacing w:val="6"/>
        </w:rPr>
        <w:t xml:space="preserve"> </w:t>
      </w:r>
      <w:r>
        <w:t>IP</w:t>
      </w:r>
      <w:r>
        <w:rPr>
          <w:spacing w:val="6"/>
        </w:rPr>
        <w:t xml:space="preserve">  </w:t>
      </w:r>
      <w:r>
        <w:rPr>
          <w:rFonts w:hint="eastAsia" w:eastAsia="宋体"/>
          <w:spacing w:val="6"/>
          <w:lang w:val="en-US" w:eastAsia="zh-CN"/>
        </w:rPr>
        <w:t xml:space="preserve">QAM </w:t>
      </w:r>
      <w:r>
        <w:rPr>
          <w:spacing w:val="6"/>
        </w:rPr>
        <w:t xml:space="preserve"> </w:t>
      </w:r>
      <w:r>
        <w:t>modulator</w:t>
      </w:r>
      <w:r>
        <w:rPr>
          <w:spacing w:val="6"/>
        </w:rPr>
        <w:t xml:space="preserve"> </w:t>
      </w:r>
      <w:r>
        <w:rPr>
          <w:rFonts w:hint="eastAsia" w:eastAsia="宋体"/>
          <w:spacing w:val="6"/>
          <w:lang w:val="en-US" w:eastAsia="zh-CN"/>
        </w:rPr>
        <w:t xml:space="preserve"> </w:t>
      </w:r>
      <w:r>
        <w:t>is</w:t>
      </w:r>
      <w:r>
        <w:rPr>
          <w:spacing w:val="6"/>
        </w:rPr>
        <w:t xml:space="preserve"> </w:t>
      </w:r>
      <w:r>
        <w:rPr>
          <w:rFonts w:hint="eastAsia" w:eastAsia="宋体"/>
          <w:spacing w:val="6"/>
          <w:lang w:val="en-US" w:eastAsia="zh-CN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latest</w:t>
      </w:r>
      <w:r>
        <w:rPr>
          <w:spacing w:val="5"/>
        </w:rPr>
        <w:t xml:space="preserve"> </w:t>
      </w:r>
      <w:r>
        <w:rPr>
          <w:rFonts w:hint="eastAsia" w:eastAsia="宋体"/>
          <w:spacing w:val="5"/>
          <w:lang w:val="en-US" w:eastAsia="zh-CN"/>
        </w:rPr>
        <w:t xml:space="preserve"> </w:t>
      </w:r>
      <w:r>
        <w:t xml:space="preserve">generational </w:t>
      </w:r>
      <w:r>
        <w:rPr>
          <w:rFonts w:hint="eastAsia" w:eastAsia="宋体"/>
          <w:lang w:val="en-US" w:eastAsia="zh-CN"/>
        </w:rPr>
        <w:t xml:space="preserve"> </w:t>
      </w:r>
      <w:r>
        <w:rPr>
          <w:spacing w:val="4"/>
        </w:rPr>
        <w:t>Mux-scrambling-modulating</w:t>
      </w:r>
      <w:r>
        <w:rPr>
          <w:spacing w:val="24"/>
        </w:rPr>
        <w:t xml:space="preserve"> </w:t>
      </w:r>
      <w:r>
        <w:rPr>
          <w:spacing w:val="4"/>
        </w:rPr>
        <w:t>all-in-one</w:t>
      </w:r>
      <w:r>
        <w:rPr>
          <w:spacing w:val="26"/>
        </w:rPr>
        <w:t xml:space="preserve"> </w:t>
      </w:r>
      <w:r>
        <w:rPr>
          <w:spacing w:val="4"/>
        </w:rPr>
        <w:t>device</w:t>
      </w:r>
      <w:r>
        <w:rPr>
          <w:spacing w:val="24"/>
        </w:rPr>
        <w:t xml:space="preserve"> </w:t>
      </w:r>
      <w:r>
        <w:rPr>
          <w:spacing w:val="4"/>
        </w:rPr>
        <w:t>developed by</w:t>
      </w:r>
      <w:r>
        <w:rPr>
          <w:spacing w:val="25"/>
          <w:w w:val="101"/>
        </w:rPr>
        <w:t xml:space="preserve"> </w:t>
      </w:r>
      <w:r>
        <w:rPr>
          <w:spacing w:val="4"/>
        </w:rPr>
        <w:t>CATC</w:t>
      </w:r>
      <w:r>
        <w:rPr>
          <w:spacing w:val="3"/>
        </w:rPr>
        <w:t>AST.</w:t>
      </w:r>
      <w:r>
        <w:rPr>
          <w:spacing w:val="18"/>
        </w:rPr>
        <w:t xml:space="preserve"> </w:t>
      </w:r>
      <w:r>
        <w:rPr>
          <w:spacing w:val="3"/>
        </w:rPr>
        <w:t>I</w:t>
      </w:r>
      <w:r>
        <w:rPr>
          <w:rFonts w:hint="eastAsia"/>
          <w:spacing w:val="4"/>
        </w:rPr>
        <w:t>t supports maximum 1024 IP input through the 3 GE ports and 32 multiplexing scrambling QAM (DVB-C) modulating channels with non-adjacent carriers (50MHz~960MHz) output through the RF output interface. Its pay-as-you-grow modular design and flexible configuration are making it extremely scalable, very reliable with high performance, all of which are adaptable to newly generation CATV broadcasting system.</w:t>
      </w:r>
    </w:p>
    <w:bookmarkEnd w:id="1"/>
    <w:p w14:paraId="44041B23">
      <w:pPr>
        <w:spacing w:line="259" w:lineRule="auto"/>
        <w:rPr>
          <w:rFonts w:ascii="Arial"/>
          <w:sz w:val="21"/>
        </w:rPr>
      </w:pPr>
    </w:p>
    <w:p w14:paraId="32DCC22B">
      <w:pPr>
        <w:pStyle w:val="2"/>
        <w:spacing w:before="87" w:line="185" w:lineRule="auto"/>
        <w:outlineLvl w:val="1"/>
        <w:rPr>
          <w:b/>
          <w:bCs/>
          <w:color w:val="E36C09"/>
          <w:spacing w:val="-1"/>
          <w:sz w:val="30"/>
          <w:szCs w:val="30"/>
        </w:rPr>
      </w:pPr>
      <w:r>
        <w:rPr>
          <w:b/>
          <w:bCs/>
          <w:color w:val="E36C09"/>
          <w:spacing w:val="-1"/>
          <w:sz w:val="30"/>
          <w:szCs w:val="30"/>
        </w:rPr>
        <w:t>Key Features</w:t>
      </w:r>
    </w:p>
    <w:p w14:paraId="7B815380">
      <w:pPr>
        <w:pStyle w:val="2"/>
        <w:spacing w:before="87" w:line="185" w:lineRule="auto"/>
        <w:ind w:left="431"/>
        <w:outlineLvl w:val="1"/>
        <w:rPr>
          <w:b/>
          <w:bCs/>
          <w:color w:val="E36C09"/>
          <w:spacing w:val="-1"/>
          <w:sz w:val="30"/>
          <w:szCs w:val="30"/>
        </w:rPr>
      </w:pPr>
    </w:p>
    <w:p w14:paraId="3CD6D1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bookmarkStart w:id="2" w:name="OLE_LINK3"/>
      <w:bookmarkStart w:id="3" w:name="OLE_LINK2"/>
      <w:r>
        <w:rPr>
          <w:rFonts w:ascii="Wingdings" w:hAnsi="Wingdings" w:eastAsia="Wingdings" w:cs="Wingdings"/>
          <w:color w:val="002060"/>
          <w:spacing w:val="-1"/>
        </w:rPr>
        <w:t>l</w:t>
      </w:r>
      <w:r>
        <w:rPr>
          <w:rFonts w:hint="eastAsia"/>
          <w:b/>
          <w:bCs/>
          <w:color w:val="002060"/>
          <w:spacing w:val="-2"/>
        </w:rPr>
        <w:t xml:space="preserve">  3 GE ports (max 1024 IP in):</w:t>
      </w:r>
    </w:p>
    <w:p w14:paraId="4B2E05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r>
        <w:rPr>
          <w:rFonts w:hint="eastAsia"/>
          <w:b/>
          <w:bCs/>
          <w:color w:val="002060"/>
          <w:spacing w:val="-2"/>
        </w:rPr>
        <w:t xml:space="preserve">    Data1 &amp; Data2 bi-directional ports, max 512 IP in, 32 IP out</w:t>
      </w:r>
    </w:p>
    <w:p w14:paraId="26213A9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r>
        <w:rPr>
          <w:rFonts w:hint="eastAsia"/>
          <w:b/>
          <w:bCs/>
          <w:color w:val="002060"/>
          <w:spacing w:val="-2"/>
        </w:rPr>
        <w:t xml:space="preserve">    Data port (located on front panel), max 128 IP in</w:t>
      </w:r>
    </w:p>
    <w:p w14:paraId="355E7E5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r>
        <w:rPr>
          <w:rFonts w:ascii="Wingdings" w:hAnsi="Wingdings" w:eastAsia="Wingdings" w:cs="Wingdings"/>
          <w:color w:val="002060"/>
          <w:spacing w:val="-1"/>
        </w:rPr>
        <w:t>l</w:t>
      </w:r>
      <w:r>
        <w:rPr>
          <w:rFonts w:hint="eastAsia"/>
          <w:b/>
          <w:bCs/>
          <w:color w:val="002060"/>
          <w:spacing w:val="-2"/>
        </w:rPr>
        <w:t xml:space="preserve">  Max 840Mbps for each GE input</w:t>
      </w:r>
    </w:p>
    <w:p w14:paraId="3B72881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r>
        <w:rPr>
          <w:rFonts w:ascii="Wingdings" w:hAnsi="Wingdings" w:eastAsia="Wingdings" w:cs="Wingdings"/>
          <w:color w:val="002060"/>
          <w:spacing w:val="-1"/>
        </w:rPr>
        <w:t>l</w:t>
      </w:r>
      <w:r>
        <w:rPr>
          <w:rFonts w:hint="eastAsia"/>
          <w:b/>
          <w:bCs/>
          <w:color w:val="002060"/>
          <w:spacing w:val="-2"/>
        </w:rPr>
        <w:t xml:space="preserve"> Supports accurate PCR adjusting/CA filtering, PID remapping and PSI/SI editing</w:t>
      </w:r>
    </w:p>
    <w:p w14:paraId="0160190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r>
        <w:rPr>
          <w:rFonts w:ascii="Wingdings" w:hAnsi="Wingdings" w:eastAsia="Wingdings" w:cs="Wingdings"/>
          <w:color w:val="002060"/>
          <w:spacing w:val="-1"/>
        </w:rPr>
        <w:t>l</w:t>
      </w:r>
      <w:r>
        <w:rPr>
          <w:rFonts w:hint="eastAsia"/>
          <w:b/>
          <w:bCs/>
          <w:color w:val="002060"/>
          <w:spacing w:val="-2"/>
        </w:rPr>
        <w:t xml:space="preserve">  Supports up to 256 PIDS remapping per channel</w:t>
      </w:r>
    </w:p>
    <w:p w14:paraId="371D6BD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r>
        <w:rPr>
          <w:rFonts w:ascii="Wingdings" w:hAnsi="Wingdings" w:eastAsia="Wingdings" w:cs="Wingdings"/>
          <w:color w:val="002060"/>
          <w:spacing w:val="-1"/>
        </w:rPr>
        <w:t>l</w:t>
      </w:r>
      <w:r>
        <w:rPr>
          <w:rFonts w:hint="eastAsia"/>
          <w:b/>
          <w:bCs/>
          <w:color w:val="002060"/>
          <w:spacing w:val="-2"/>
        </w:rPr>
        <w:t xml:space="preserve">  Support 32 IP output through Data1 &amp; Data2 over UDP/RTP/RTSP</w:t>
      </w:r>
    </w:p>
    <w:p w14:paraId="52BBE32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r>
        <w:rPr>
          <w:rFonts w:ascii="Wingdings" w:hAnsi="Wingdings" w:eastAsia="Wingdings" w:cs="Wingdings"/>
          <w:color w:val="002060"/>
          <w:spacing w:val="-1"/>
        </w:rPr>
        <w:t>l</w:t>
      </w:r>
      <w:r>
        <w:rPr>
          <w:rFonts w:hint="eastAsia"/>
          <w:b/>
          <w:bCs/>
          <w:color w:val="002060"/>
          <w:spacing w:val="-2"/>
        </w:rPr>
        <w:t xml:space="preserve"> 32 non-adjacent QAM carriers output, compliant to DVB-C (EN 300 429) and ITU-T J.83 A/B</w:t>
      </w:r>
    </w:p>
    <w:p w14:paraId="7E48274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r>
        <w:rPr>
          <w:rFonts w:ascii="Wingdings" w:hAnsi="Wingdings" w:eastAsia="Wingdings" w:cs="Wingdings"/>
          <w:color w:val="002060"/>
          <w:spacing w:val="-1"/>
        </w:rPr>
        <w:t>l</w:t>
      </w:r>
      <w:r>
        <w:rPr>
          <w:rFonts w:hint="eastAsia"/>
          <w:b/>
          <w:bCs/>
          <w:color w:val="002060"/>
          <w:spacing w:val="-2"/>
        </w:rPr>
        <w:t xml:space="preserve">  Supports RS (204,188) encoding</w:t>
      </w:r>
    </w:p>
    <w:p w14:paraId="2B81695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2" w:line="240" w:lineRule="atLeast"/>
        <w:ind w:left="23"/>
        <w:textAlignment w:val="baseline"/>
        <w:rPr>
          <w:rFonts w:hint="eastAsia"/>
          <w:b/>
          <w:bCs/>
          <w:color w:val="002060"/>
          <w:spacing w:val="-2"/>
        </w:rPr>
      </w:pPr>
      <w:r>
        <w:rPr>
          <w:rFonts w:ascii="Wingdings" w:hAnsi="Wingdings" w:eastAsia="Wingdings" w:cs="Wingdings"/>
          <w:color w:val="002060"/>
          <w:spacing w:val="-1"/>
        </w:rPr>
        <w:t>l</w:t>
      </w:r>
      <w:r>
        <w:rPr>
          <w:rFonts w:hint="eastAsia"/>
          <w:b/>
          <w:bCs/>
          <w:color w:val="002060"/>
          <w:spacing w:val="-2"/>
        </w:rPr>
        <w:t xml:space="preserve">  Support Web-based Network management</w:t>
      </w:r>
    </w:p>
    <w:bookmarkEnd w:id="2"/>
    <w:p w14:paraId="4D16895B">
      <w:pPr>
        <w:spacing w:line="280" w:lineRule="auto"/>
        <w:rPr>
          <w:rFonts w:ascii="Arial"/>
          <w:sz w:val="21"/>
        </w:rPr>
      </w:pPr>
    </w:p>
    <w:bookmarkEnd w:id="3"/>
    <w:p w14:paraId="7CFF2765">
      <w:pPr>
        <w:spacing w:line="280" w:lineRule="auto"/>
        <w:rPr>
          <w:rFonts w:ascii="Arial"/>
          <w:sz w:val="21"/>
        </w:rPr>
      </w:pPr>
    </w:p>
    <w:p w14:paraId="642A90C3">
      <w:pPr>
        <w:pStyle w:val="2"/>
        <w:spacing w:before="86" w:line="189" w:lineRule="auto"/>
        <w:ind w:left="5"/>
        <w:rPr>
          <w:b/>
          <w:bCs/>
          <w:color w:val="E36C09"/>
          <w:spacing w:val="-1"/>
          <w:sz w:val="30"/>
          <w:szCs w:val="30"/>
        </w:rPr>
      </w:pPr>
      <w:r>
        <w:rPr>
          <w:b/>
          <w:bCs/>
          <w:color w:val="E36C09"/>
          <w:spacing w:val="-1"/>
          <w:sz w:val="30"/>
          <w:szCs w:val="30"/>
        </w:rPr>
        <w:t>Inner Principle Chart</w:t>
      </w:r>
    </w:p>
    <w:p w14:paraId="29F0CEDD">
      <w:pPr>
        <w:pStyle w:val="2"/>
        <w:spacing w:before="86" w:line="189" w:lineRule="auto"/>
        <w:rPr>
          <w:b/>
          <w:bCs/>
          <w:color w:val="E36C09"/>
          <w:spacing w:val="-1"/>
          <w:sz w:val="30"/>
          <w:szCs w:val="30"/>
        </w:rPr>
      </w:pPr>
    </w:p>
    <w:p w14:paraId="2B7C9E48">
      <w:pPr>
        <w:pStyle w:val="2"/>
        <w:spacing w:before="86" w:line="189" w:lineRule="auto"/>
        <w:ind w:left="5"/>
        <w:rPr>
          <w:b/>
          <w:bCs/>
          <w:color w:val="E36C09"/>
          <w:spacing w:val="-1"/>
          <w:sz w:val="30"/>
          <w:szCs w:val="30"/>
        </w:rPr>
      </w:pPr>
    </w:p>
    <w:p w14:paraId="57B8B1F5">
      <w:pPr>
        <w:spacing w:line="277" w:lineRule="auto"/>
        <w:rPr>
          <w:rFonts w:ascii="Arial"/>
          <w:sz w:val="21"/>
        </w:rPr>
      </w:pPr>
      <w:r>
        <w:rPr>
          <w:rFonts w:hint="eastAsia" w:ascii="Arial" w:eastAsia="宋体"/>
          <w:sz w:val="21"/>
          <w:lang w:eastAsia="zh-CN"/>
        </w:rPr>
        <w:drawing>
          <wp:inline distT="0" distB="0" distL="114300" distR="114300">
            <wp:extent cx="6370320" cy="1660525"/>
            <wp:effectExtent l="0" t="0" r="11430" b="15875"/>
            <wp:docPr id="4" name="图片 4" descr="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3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70320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9DA68">
      <w:pPr>
        <w:pStyle w:val="2"/>
        <w:spacing w:before="87" w:line="189" w:lineRule="auto"/>
        <w:rPr>
          <w:b/>
          <w:bCs/>
          <w:color w:val="E36C09"/>
          <w:spacing w:val="-1"/>
          <w:sz w:val="30"/>
          <w:szCs w:val="30"/>
        </w:rPr>
      </w:pPr>
    </w:p>
    <w:p w14:paraId="4C95ECD9">
      <w:pPr>
        <w:pStyle w:val="2"/>
        <w:spacing w:before="87" w:line="189" w:lineRule="auto"/>
        <w:ind w:left="11"/>
        <w:rPr>
          <w:sz w:val="30"/>
          <w:szCs w:val="30"/>
        </w:rPr>
      </w:pPr>
      <w:r>
        <w:rPr>
          <w:b/>
          <w:bCs/>
          <w:color w:val="E36C09"/>
          <w:spacing w:val="-1"/>
          <w:sz w:val="30"/>
          <w:szCs w:val="30"/>
        </w:rPr>
        <w:t>Carrier Setting Illustration</w:t>
      </w:r>
    </w:p>
    <w:p w14:paraId="45DD21AD">
      <w:pPr>
        <w:spacing w:before="215" w:line="240" w:lineRule="auto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266180" cy="2266950"/>
            <wp:effectExtent l="0" t="0" r="1270" b="0"/>
            <wp:docPr id="3" name="图片 3" descr="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3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618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A5340">
      <w:pPr>
        <w:pStyle w:val="2"/>
        <w:spacing w:before="87" w:line="189" w:lineRule="auto"/>
        <w:rPr>
          <w:b/>
          <w:bCs/>
          <w:color w:val="E36C09"/>
          <w:spacing w:val="-1"/>
          <w:sz w:val="30"/>
          <w:szCs w:val="30"/>
        </w:rPr>
      </w:pPr>
    </w:p>
    <w:p w14:paraId="2CABD114">
      <w:pPr>
        <w:pStyle w:val="2"/>
        <w:spacing w:before="87" w:line="189" w:lineRule="auto"/>
        <w:rPr>
          <w:b/>
          <w:bCs/>
          <w:color w:val="E36C09"/>
          <w:spacing w:val="-1"/>
          <w:sz w:val="30"/>
          <w:szCs w:val="30"/>
        </w:rPr>
      </w:pPr>
      <w:r>
        <w:rPr>
          <w:b/>
          <w:bCs/>
          <w:color w:val="E36C09"/>
          <w:spacing w:val="-1"/>
          <w:sz w:val="30"/>
          <w:szCs w:val="30"/>
        </w:rPr>
        <w:t>System Connection Sample (IP Based)</w:t>
      </w:r>
    </w:p>
    <w:p w14:paraId="76680CA8">
      <w:pPr>
        <w:pStyle w:val="2"/>
        <w:spacing w:before="87" w:line="189" w:lineRule="auto"/>
        <w:rPr>
          <w:b/>
          <w:bCs/>
          <w:color w:val="E36C09"/>
          <w:spacing w:val="-1"/>
          <w:sz w:val="30"/>
          <w:szCs w:val="30"/>
        </w:rPr>
      </w:pPr>
    </w:p>
    <w:p w14:paraId="12E77112">
      <w:pPr>
        <w:spacing w:before="215" w:line="240" w:lineRule="auto"/>
        <w:rPr>
          <w:rFonts w:hint="eastAsia" w:eastAsia="宋体"/>
          <w:lang w:eastAsia="zh-CN"/>
        </w:rPr>
      </w:pPr>
      <w:r>
        <w:rPr>
          <w:rFonts w:hint="eastAsia" w:eastAsia="宋体"/>
          <w:b/>
          <w:bCs/>
          <w:color w:val="E36C09"/>
          <w:spacing w:val="-1"/>
          <w:sz w:val="30"/>
          <w:szCs w:val="30"/>
          <w:lang w:val="en-US" w:eastAsia="zh-CN"/>
        </w:rPr>
        <w:drawing>
          <wp:inline distT="0" distB="0" distL="114300" distR="114300">
            <wp:extent cx="6588125" cy="2600960"/>
            <wp:effectExtent l="0" t="0" r="3175" b="8890"/>
            <wp:docPr id="6" name="图片 6" descr="1718681438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1868143888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588125" cy="260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0D9A0">
      <w:pPr>
        <w:spacing w:line="3285" w:lineRule="exact"/>
        <w:sectPr>
          <w:pgSz w:w="11906" w:h="16839"/>
          <w:pgMar w:top="1121" w:right="725" w:bottom="0" w:left="1144" w:header="0" w:footer="0" w:gutter="0"/>
          <w:cols w:space="720" w:num="1"/>
        </w:sectPr>
      </w:pPr>
    </w:p>
    <w:p w14:paraId="39D9CCDE">
      <w:pPr>
        <w:pStyle w:val="2"/>
        <w:spacing w:before="53" w:line="189" w:lineRule="auto"/>
        <w:rPr>
          <w:b/>
          <w:bCs/>
          <w:color w:val="E36C09"/>
          <w:spacing w:val="-2"/>
          <w:sz w:val="30"/>
          <w:szCs w:val="30"/>
        </w:rPr>
      </w:pPr>
      <w:r>
        <w:rPr>
          <w:b/>
          <w:bCs/>
          <w:color w:val="E36C09"/>
          <w:spacing w:val="-2"/>
          <w:sz w:val="30"/>
          <w:szCs w:val="30"/>
        </w:rPr>
        <w:t>Specifications</w:t>
      </w:r>
    </w:p>
    <w:p w14:paraId="307DE3B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CFD"/>
        <w:spacing w:before="0" w:beforeAutospacing="0" w:after="0" w:afterAutospacing="0"/>
        <w:ind w:left="0" w:right="0" w:firstLine="0"/>
        <w:jc w:val="left"/>
        <w:rPr>
          <w:rFonts w:ascii="Verdana" w:hAnsi="Verdana" w:cs="Verdana"/>
          <w:i w:val="0"/>
          <w:iCs w:val="0"/>
          <w:caps w:val="0"/>
          <w:color w:val="333333"/>
          <w:spacing w:val="0"/>
          <w:sz w:val="18"/>
          <w:szCs w:val="18"/>
        </w:rPr>
      </w:pPr>
    </w:p>
    <w:tbl>
      <w:tblPr>
        <w:tblStyle w:val="4"/>
        <w:tblW w:w="975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EFCFD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22"/>
        <w:gridCol w:w="2516"/>
        <w:gridCol w:w="1031"/>
        <w:gridCol w:w="4281"/>
      </w:tblGrid>
      <w:tr w14:paraId="3D4DBC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EFC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845" w:type="dxa"/>
            <w:vMerge w:val="restart"/>
            <w:shd w:val="clear" w:color="auto" w:fill="FEFCFD"/>
            <w:vAlign w:val="center"/>
          </w:tcPr>
          <w:p w14:paraId="37A0B6D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Input</w:t>
            </w:r>
          </w:p>
        </w:tc>
        <w:tc>
          <w:tcPr>
            <w:tcW w:w="2415" w:type="dxa"/>
            <w:shd w:val="clear" w:color="auto" w:fill="FEFCFD"/>
            <w:vAlign w:val="center"/>
          </w:tcPr>
          <w:p w14:paraId="56DA44F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Input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46513C0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Max 1024 IP input through 3 (front-panel Data port, Data 1 and Data 2) 100/1000M Ethernet Port (SFP interface optional). Each Data1 or Data 2 port can input maximum 512 IP, while front-panel Data port can input maximum 128 IP</w:t>
            </w:r>
          </w:p>
        </w:tc>
      </w:tr>
      <w:tr w14:paraId="7C9336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67A681DE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25CF773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Transport Protocol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129B650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TS over UDP/RTP, unicast and multicast, IGMP V2/V3</w:t>
            </w:r>
          </w:p>
        </w:tc>
      </w:tr>
      <w:tr w14:paraId="27FA03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3E608D1E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78763A1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Transmission Rate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29E3123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Max 840Mbps for each GE input</w:t>
            </w:r>
          </w:p>
        </w:tc>
      </w:tr>
      <w:tr w14:paraId="28AE4E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1845" w:type="dxa"/>
            <w:vMerge w:val="restart"/>
            <w:shd w:val="clear" w:color="auto" w:fill="FEFCFD"/>
            <w:vAlign w:val="center"/>
          </w:tcPr>
          <w:p w14:paraId="48A9C83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Mux</w:t>
            </w:r>
          </w:p>
        </w:tc>
        <w:tc>
          <w:tcPr>
            <w:tcW w:w="2415" w:type="dxa"/>
            <w:shd w:val="clear" w:color="auto" w:fill="FEFCFD"/>
            <w:vAlign w:val="center"/>
          </w:tcPr>
          <w:p w14:paraId="0F90425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Input Channel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232A601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1024</w:t>
            </w:r>
          </w:p>
        </w:tc>
      </w:tr>
      <w:tr w14:paraId="5FB88E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0CF7A942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7E2108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Output Channel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40A87E1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32</w:t>
            </w:r>
          </w:p>
        </w:tc>
      </w:tr>
      <w:tr w14:paraId="5C35B3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401DD5FF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1327654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Max PIDs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188FF1C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256 per channel</w:t>
            </w:r>
          </w:p>
        </w:tc>
      </w:tr>
      <w:tr w14:paraId="70A9D1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392673FC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vMerge w:val="restart"/>
            <w:shd w:val="clear" w:color="auto" w:fill="FEFCFD"/>
            <w:vAlign w:val="center"/>
          </w:tcPr>
          <w:p w14:paraId="0ACDB9D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Functions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002E3FE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PID remapping(auto/manually optional)</w:t>
            </w:r>
          </w:p>
        </w:tc>
      </w:tr>
      <w:tr w14:paraId="080356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23302746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vMerge w:val="continue"/>
            <w:shd w:val="clear" w:color="auto" w:fill="FEFCFD"/>
            <w:vAlign w:val="center"/>
          </w:tcPr>
          <w:p w14:paraId="30284E48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7253220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PCR accurate adjusting</w:t>
            </w:r>
          </w:p>
        </w:tc>
      </w:tr>
      <w:tr w14:paraId="609F95A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530119E8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vMerge w:val="continue"/>
            <w:shd w:val="clear" w:color="auto" w:fill="FEFCFD"/>
            <w:vAlign w:val="center"/>
          </w:tcPr>
          <w:p w14:paraId="2E1A70EB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1C1F32B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PSI/SI table automatically generating</w:t>
            </w:r>
          </w:p>
        </w:tc>
      </w:tr>
      <w:tr w14:paraId="6205729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EFC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1845" w:type="dxa"/>
            <w:vMerge w:val="restart"/>
            <w:shd w:val="clear" w:color="auto" w:fill="FEFCFD"/>
            <w:vAlign w:val="center"/>
          </w:tcPr>
          <w:p w14:paraId="1A74C0A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Scrambling</w:t>
            </w:r>
          </w:p>
          <w:p w14:paraId="6CDB6FD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Parameters</w:t>
            </w:r>
          </w:p>
        </w:tc>
        <w:tc>
          <w:tcPr>
            <w:tcW w:w="2415" w:type="dxa"/>
            <w:shd w:val="clear" w:color="auto" w:fill="FEFCFD"/>
            <w:vAlign w:val="center"/>
          </w:tcPr>
          <w:p w14:paraId="4436A2A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Max simulscrypt CA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3A272BC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4</w:t>
            </w:r>
          </w:p>
        </w:tc>
      </w:tr>
      <w:tr w14:paraId="17BCB9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71E214C3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07B12FA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Scramble Standard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0A3FFBA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ETR289, ETSI 101 197, ETSI 103 197</w:t>
            </w:r>
          </w:p>
        </w:tc>
      </w:tr>
      <w:tr w14:paraId="540F45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4D63C2B2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3EF5DF7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Connection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668506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Local/remote connection</w:t>
            </w:r>
          </w:p>
        </w:tc>
      </w:tr>
      <w:tr w14:paraId="68B5EC5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845" w:type="dxa"/>
            <w:vMerge w:val="restart"/>
            <w:shd w:val="clear" w:color="auto" w:fill="FEFCFD"/>
            <w:vAlign w:val="center"/>
          </w:tcPr>
          <w:p w14:paraId="4C58CEB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Modulation</w:t>
            </w:r>
          </w:p>
          <w:p w14:paraId="453EE2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Parameters</w:t>
            </w:r>
          </w:p>
        </w:tc>
        <w:tc>
          <w:tcPr>
            <w:tcW w:w="2415" w:type="dxa"/>
            <w:vMerge w:val="restart"/>
            <w:shd w:val="clear" w:color="auto" w:fill="FEFCFD"/>
            <w:vAlign w:val="center"/>
          </w:tcPr>
          <w:p w14:paraId="296018D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DVB-C Modulator Section</w:t>
            </w:r>
          </w:p>
        </w:tc>
        <w:tc>
          <w:tcPr>
            <w:tcW w:w="990" w:type="dxa"/>
            <w:vMerge w:val="restart"/>
            <w:shd w:val="clear" w:color="auto" w:fill="FEFCFD"/>
            <w:vAlign w:val="center"/>
          </w:tcPr>
          <w:p w14:paraId="05F35EA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J.83A</w:t>
            </w:r>
          </w:p>
        </w:tc>
        <w:tc>
          <w:tcPr>
            <w:tcW w:w="4110" w:type="dxa"/>
            <w:shd w:val="clear" w:color="auto" w:fill="FEFCFD"/>
            <w:vAlign w:val="center"/>
          </w:tcPr>
          <w:p w14:paraId="35197D7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Constellation : 16/32/64/128/256QAM</w:t>
            </w:r>
          </w:p>
        </w:tc>
      </w:tr>
      <w:tr w14:paraId="0E8ECD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2B0F9222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vMerge w:val="continue"/>
            <w:shd w:val="clear" w:color="auto" w:fill="FEFCFD"/>
            <w:vAlign w:val="center"/>
          </w:tcPr>
          <w:p w14:paraId="58A94A13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 w:color="auto" w:fill="FEFCFD"/>
            <w:vAlign w:val="center"/>
          </w:tcPr>
          <w:p w14:paraId="7FA84377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4110" w:type="dxa"/>
            <w:shd w:val="clear" w:color="auto" w:fill="FEFCFD"/>
            <w:vAlign w:val="center"/>
          </w:tcPr>
          <w:p w14:paraId="0603354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Bandwidth :8M</w:t>
            </w:r>
          </w:p>
        </w:tc>
      </w:tr>
      <w:tr w14:paraId="6ABD51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1393AD6B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vMerge w:val="continue"/>
            <w:shd w:val="clear" w:color="auto" w:fill="FEFCFD"/>
            <w:vAlign w:val="center"/>
          </w:tcPr>
          <w:p w14:paraId="0F0A4976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vMerge w:val="restart"/>
            <w:shd w:val="clear" w:color="auto" w:fill="FEFCFD"/>
            <w:vAlign w:val="center"/>
          </w:tcPr>
          <w:p w14:paraId="63E1288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J.83B</w:t>
            </w:r>
          </w:p>
        </w:tc>
        <w:tc>
          <w:tcPr>
            <w:tcW w:w="4110" w:type="dxa"/>
            <w:shd w:val="clear" w:color="auto" w:fill="FEFCFD"/>
            <w:vAlign w:val="center"/>
          </w:tcPr>
          <w:p w14:paraId="1299697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Constellation : 64QAM/ 256QAM</w:t>
            </w:r>
          </w:p>
        </w:tc>
      </w:tr>
      <w:tr w14:paraId="634CF6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5EDE0C10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vMerge w:val="continue"/>
            <w:shd w:val="clear" w:color="auto" w:fill="FEFCFD"/>
            <w:vAlign w:val="center"/>
          </w:tcPr>
          <w:p w14:paraId="06E846A2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shd w:val="clear" w:color="auto" w:fill="FEFCFD"/>
            <w:vAlign w:val="center"/>
          </w:tcPr>
          <w:p w14:paraId="1AD2DA92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4110" w:type="dxa"/>
            <w:shd w:val="clear" w:color="auto" w:fill="FEFCFD"/>
            <w:vAlign w:val="center"/>
          </w:tcPr>
          <w:p w14:paraId="12CE682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Bandwidth :6M</w:t>
            </w:r>
          </w:p>
        </w:tc>
      </w:tr>
      <w:tr w14:paraId="48252F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59502940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406B0B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QAM Channel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3E7AC2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32 non-adjacent carrier</w:t>
            </w:r>
          </w:p>
        </w:tc>
      </w:tr>
      <w:tr w14:paraId="369C34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287A7A7F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45DBCC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Modulation Standard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7986B3D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EN300 429/ITU-T J.83A/B(DVB-C)</w:t>
            </w:r>
          </w:p>
        </w:tc>
      </w:tr>
      <w:tr w14:paraId="21A442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EFC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14E37694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1E81262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Symbol Rate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34E9634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5.0~7.0Msps, 1ksps stepping</w:t>
            </w:r>
          </w:p>
        </w:tc>
      </w:tr>
      <w:tr w14:paraId="020CEE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38838460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221FD02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Constellation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1C479C3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16, 32, 64 , 128, 256QAM</w:t>
            </w:r>
          </w:p>
        </w:tc>
      </w:tr>
      <w:tr w14:paraId="1238DC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04DFEEA8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769565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FEC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22C7AAE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RS (204, 188)</w:t>
            </w:r>
          </w:p>
        </w:tc>
      </w:tr>
      <w:tr w14:paraId="394A3C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1845" w:type="dxa"/>
            <w:vMerge w:val="restart"/>
            <w:shd w:val="clear" w:color="auto" w:fill="FEFCFD"/>
            <w:vAlign w:val="center"/>
          </w:tcPr>
          <w:p w14:paraId="5F23A71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RF Output</w:t>
            </w:r>
          </w:p>
        </w:tc>
        <w:tc>
          <w:tcPr>
            <w:tcW w:w="2415" w:type="dxa"/>
            <w:shd w:val="clear" w:color="auto" w:fill="FEFCFD"/>
            <w:vAlign w:val="center"/>
          </w:tcPr>
          <w:p w14:paraId="29985F0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Interface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5AE8433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1 F typed output port for 32 carriers, 75Ω</w:t>
            </w:r>
          </w:p>
        </w:tc>
      </w:tr>
      <w:tr w14:paraId="7CD1E60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6A27F174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213AFA0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RF Range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64ABAC4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50~960MHz, 1kHz stepping</w:t>
            </w:r>
          </w:p>
        </w:tc>
      </w:tr>
      <w:tr w14:paraId="4D6786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EFC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449DEB89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7924EE2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Output Level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6576253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-20dBm~+10dBm(87~117dbµV), 0.1dB stepping</w:t>
            </w:r>
          </w:p>
        </w:tc>
      </w:tr>
      <w:tr w14:paraId="0DC070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18CD8B49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16BBF8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MER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12A96F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≥ 40dB</w:t>
            </w:r>
          </w:p>
        </w:tc>
      </w:tr>
      <w:tr w14:paraId="2C3A3A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5" w:type="dxa"/>
            <w:shd w:val="clear" w:color="auto" w:fill="FEFCFD"/>
            <w:vAlign w:val="center"/>
          </w:tcPr>
          <w:p w14:paraId="5C2DA7D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TS output</w:t>
            </w:r>
          </w:p>
        </w:tc>
        <w:tc>
          <w:tcPr>
            <w:tcW w:w="7515" w:type="dxa"/>
            <w:gridSpan w:val="3"/>
            <w:shd w:val="clear" w:color="auto" w:fill="FEFCFD"/>
            <w:vAlign w:val="center"/>
          </w:tcPr>
          <w:p w14:paraId="74909ED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32 IP output over UDP/RTP/RTSP, unicast/multicast, 2 (Data1&amp; Data2) 100/1000M Ethernet Ports</w:t>
            </w:r>
          </w:p>
        </w:tc>
      </w:tr>
      <w:tr w14:paraId="1ADAF6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5" w:type="dxa"/>
            <w:shd w:val="clear" w:color="auto" w:fill="FEFCFD"/>
            <w:vAlign w:val="center"/>
          </w:tcPr>
          <w:p w14:paraId="2941C0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System</w:t>
            </w:r>
          </w:p>
        </w:tc>
        <w:tc>
          <w:tcPr>
            <w:tcW w:w="7515" w:type="dxa"/>
            <w:gridSpan w:val="3"/>
            <w:shd w:val="clear" w:color="auto" w:fill="FEFCFD"/>
            <w:vAlign w:val="center"/>
          </w:tcPr>
          <w:p w14:paraId="0BEE1F5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Network management software (NMS) supporting</w:t>
            </w:r>
          </w:p>
        </w:tc>
      </w:tr>
      <w:tr w14:paraId="259C641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EFC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5" w:type="dxa"/>
            <w:vMerge w:val="restart"/>
            <w:shd w:val="clear" w:color="auto" w:fill="FEFCFD"/>
            <w:vAlign w:val="center"/>
          </w:tcPr>
          <w:p w14:paraId="7058CAA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0070C0"/>
              </w:rPr>
            </w:pPr>
            <w:r>
              <w:rPr>
                <w:rStyle w:val="6"/>
                <w:rFonts w:hint="default" w:ascii="Verdana" w:hAnsi="Verdana" w:cs="Verdana"/>
                <w:i w:val="0"/>
                <w:iCs w:val="0"/>
                <w:caps w:val="0"/>
                <w:color w:val="0070C0"/>
                <w:spacing w:val="0"/>
                <w:sz w:val="18"/>
                <w:szCs w:val="18"/>
              </w:rPr>
              <w:t>General</w:t>
            </w:r>
          </w:p>
        </w:tc>
        <w:tc>
          <w:tcPr>
            <w:tcW w:w="2415" w:type="dxa"/>
            <w:shd w:val="clear" w:color="auto" w:fill="FEFCFD"/>
            <w:vAlign w:val="center"/>
          </w:tcPr>
          <w:p w14:paraId="1E618D7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Demission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3BA25C3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420mm×440mm×44.5mm (WxLxH)</w:t>
            </w:r>
          </w:p>
        </w:tc>
      </w:tr>
      <w:tr w14:paraId="4F6821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EFC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3C03DCFC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631D4E0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Temperature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7514DAC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0~45℃(operation), -20~80℃(storage)</w:t>
            </w:r>
          </w:p>
        </w:tc>
      </w:tr>
      <w:tr w14:paraId="649250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845" w:type="dxa"/>
            <w:vMerge w:val="continue"/>
            <w:shd w:val="clear" w:color="auto" w:fill="FEFCFD"/>
            <w:vAlign w:val="center"/>
          </w:tcPr>
          <w:p w14:paraId="0003FBF4">
            <w:pPr>
              <w:jc w:val="left"/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2415" w:type="dxa"/>
            <w:shd w:val="clear" w:color="auto" w:fill="FEFCFD"/>
            <w:vAlign w:val="center"/>
          </w:tcPr>
          <w:p w14:paraId="672091E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Power Supply</w:t>
            </w:r>
          </w:p>
        </w:tc>
        <w:tc>
          <w:tcPr>
            <w:tcW w:w="5100" w:type="dxa"/>
            <w:gridSpan w:val="2"/>
            <w:shd w:val="clear" w:color="auto" w:fill="FEFCFD"/>
            <w:vAlign w:val="center"/>
          </w:tcPr>
          <w:p w14:paraId="7F64C97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left"/>
              <w:rPr>
                <w:color w:val="auto"/>
              </w:rPr>
            </w:pPr>
            <w:r>
              <w:rPr>
                <w:rFonts w:hint="default" w:ascii="Verdana" w:hAnsi="Verdana" w:cs="Verdan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  <w:t>AC 100V±10%, 50/60Hz or AC 220V±10%, 50/60Hz</w:t>
            </w:r>
          </w:p>
        </w:tc>
      </w:tr>
    </w:tbl>
    <w:p w14:paraId="2288369F">
      <w:pPr>
        <w:pStyle w:val="2"/>
        <w:spacing w:before="53" w:line="189" w:lineRule="auto"/>
        <w:rPr>
          <w:b/>
          <w:bCs/>
          <w:color w:val="E36C09"/>
          <w:spacing w:val="-2"/>
          <w:sz w:val="30"/>
          <w:szCs w:val="30"/>
        </w:rPr>
      </w:pPr>
    </w:p>
    <w:sectPr>
      <w:pgSz w:w="11906" w:h="16839"/>
      <w:pgMar w:top="1185" w:right="726" w:bottom="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DVlMDMwODhmYmYwYTA4YjVhZWE3NTA1NjExOTk0MDMifQ=="/>
  </w:docVars>
  <w:rsids>
    <w:rsidRoot w:val="00000000"/>
    <w:rsid w:val="553C5270"/>
    <w:rsid w:val="79362F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401</Words>
  <Characters>2296</Characters>
  <TotalTime>275</TotalTime>
  <ScaleCrop>false</ScaleCrop>
  <LinksUpToDate>false</LinksUpToDate>
  <CharactersWithSpaces>2631</CharactersWithSpaces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2018-08-14T12:05:00Z</dcterms:created>
  <dc:creator>zhanghong</dc:creator>
  <cp:lastModifiedBy>一截儿</cp:lastModifiedBy>
  <dcterms:modified xsi:type="dcterms:W3CDTF">2024-06-18T07:41:36Z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2024-06-18T11:01:44Z</vt:filetime>
  </property>
  <property fmtid="{D5CDD505-2E9C-101B-9397-08002B2CF9AE}" pid="4" name="KSOProductBuildVer">
    <vt:lpwstr>2052-12.1.0.17133</vt:lpwstr>
  </property>
  <property fmtid="{D5CDD505-2E9C-101B-9397-08002B2CF9AE}" pid="5" name="ICV">
    <vt:lpwstr>36D2F12E2CF742D2BD93CEACC9220130_13</vt:lpwstr>
  </property>
</Properties>
</file>